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Calibri" w:eastAsia="Calibri" w:hAnsi="Calibri" w:hint="default"/>
        </w:rPr>
        <w:wordWrap w:val="off"/>
      </w:pPr>
      <w:bookmarkStart w:id="1" w:name="ESASE"/>
      <w:r>
        <w:rPr>
          <w:b w:val="1"/>
          <w:color w:val="auto"/>
          <w:position w:val="0"/>
          <w:sz w:val="36"/>
          <w:szCs w:val="36"/>
          <w:rFonts w:ascii="Calibri" w:eastAsia="Calibri" w:hAnsi="Calibri" w:hint="default"/>
        </w:rPr>
        <w:t xml:space="preserve">ASIE DU SUD-EST</w:t>
      </w:r>
      <w:r>
        <w:rPr>
          <w:b w:val="1"/>
          <w:color w:val="auto"/>
          <w:position w:val="0"/>
          <w:sz w:val="36"/>
          <w:szCs w:val="36"/>
          <w:rFonts w:ascii="Calibri" w:eastAsia="Calibri" w:hAnsi="Calibri" w:hint="default"/>
        </w:rPr>
        <w:br/>
      </w:r>
      <w:r>
        <w:rPr>
          <w:b w:val="1"/>
          <w:color w:val="auto"/>
          <w:position w:val="0"/>
          <w:sz w:val="36"/>
          <w:szCs w:val="36"/>
          <w:rFonts w:ascii="Calibri" w:eastAsia="Calibri" w:hAnsi="Calibri" w:hint="default"/>
        </w:rPr>
        <w:t xml:space="preserve">SÉRIES ES / S</w:t>
      </w:r>
      <w:bookmarkEnd w:id="1"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i w:val="1"/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Objets d'étude : Poésie et quête du sens du Moyen Âge à nos jours.</w:t>
      </w:r>
      <w:r>
        <w:rPr>
          <w:i w:val="1"/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br/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Corpus :  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Texte A : Charles BAUDELAIRE, « Enivrez-vous », poème XXXIII, </w:t>
      </w:r>
      <w:r>
        <w:rPr>
          <w:i w:val="1"/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Le Spleen de Paris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 (1869) 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Texte B : René CHAR, « Rougeur des matinaux », sections I à IV, </w:t>
      </w:r>
      <w:r>
        <w:rPr>
          <w:i w:val="1"/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Les Matinaux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 (1950)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Texte C : Paul ELUARD, « Bonne Justice », </w:t>
      </w:r>
      <w:r>
        <w:rPr>
          <w:i w:val="1"/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Pouvoir tout dire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 (1951) 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Texte D : Jean MAMBRINO, « Orphée innombrable », </w:t>
      </w:r>
      <w:r>
        <w:rPr>
          <w:i w:val="1"/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La Saison du monde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 (1986)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Document E : Camille Corot, « Orphée ramenant Eurydice des Enfers » (1861).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Texte A : Charles Baudelaire, « Enivrez-vous », poème XXXIII, </w:t>
      </w:r>
      <w:r>
        <w:rPr>
          <w:i w:val="1"/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Le Spleen de Paris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 (1869).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ENIVREZ-VOUS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 Il faut être toujours ivre. Tout est là. C'est l'unique question. Pour ne pas sentir l'horrible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fardeau du Temps qui brise vos épaules et vous penche vers la terre, il faut vous enivrer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sans trêve.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 Mais de quoi ? De vin, de poésie ou de vertu, à votre guise. Mais enivrez-vous.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 Et si quelquefois, sur les marches d'un palais, sur l'herbe verte d'un fossé, dans la solitude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morne de votre chambre, vous vous réveillez, l'ivresse déjà diminuée ou disparue,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demandez au vent, à la vague, à l'étoile, à l'oiseau, à l'horloge, à tout ce qui fuit, à tout ce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qui gémit, à tout ce qui roule, à tout ce qui chante, à tout ce qui parle, demandez quelle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heure il est; et le vent, la vague, l'étoile, l'oiseau, l'horloge, vous répondront : « Il est l'heure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de s'enivrer ! Pour n'être pas les esclaves martyrisés du Temps, enivrez-vous; enivrez-vous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sans cesse ! De vin, de poésie ou de vertu, à votre guise. »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Texte B : René Char, « Rougeur des matinaux », sections I à IV, </w:t>
      </w:r>
      <w:r>
        <w:rPr>
          <w:i w:val="1"/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Les Matinaux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 (1950)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I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L'état d'esprit du soleil levant est allégresse</w:t>
      </w:r>
      <w:r>
        <w:rPr>
          <w:vertAlign w:val="superscript"/>
          <w:color w:val="auto"/>
          <w:position w:val="0"/>
          <w:sz w:val="24"/>
          <w:szCs w:val="24"/>
          <w:rFonts w:ascii="Calibri" w:eastAsia="Calibri" w:hAnsi="Calibri" w:hint="default"/>
        </w:rPr>
        <w:t>1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malgré le jour cruel et le souvenir de la nuit. La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teinte du caillot</w:t>
      </w:r>
      <w:r>
        <w:rPr>
          <w:vertAlign w:val="superscript"/>
          <w:color w:val="auto"/>
          <w:position w:val="0"/>
          <w:sz w:val="24"/>
          <w:szCs w:val="24"/>
          <w:rFonts w:ascii="Calibri" w:eastAsia="Calibri" w:hAnsi="Calibri" w:hint="default"/>
        </w:rPr>
        <w:t>2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devient la rougeur de l'aurore.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II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Quand on a mission d'éveiller, on commence par faire sa toilette dans la rivière. Le premier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enchantement comme le premier saisissement sont pour soi. 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III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Impose ta chance, serre ton bonheur et va vers ton risque. À te regarder, ils s'habitueront. 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IV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Au plus fort de l'orage, il y a toujours un oiseau pour nous rassurer. C'est l'oiseau inconnu. Il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chante avant de s'envoler.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Calibri" w:eastAsia="Calibri" w:hAnsi="Calibri" w:hint="default"/>
        </w:rPr>
        <w:wordWrap w:val="off"/>
      </w:pP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1. Allégresse : joie intense</w:t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br/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2. Caillot : sang coagulé.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Texte C : Paul Eluard, « Bonne Justice », </w:t>
      </w:r>
      <w:r>
        <w:rPr>
          <w:i w:val="1"/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Pouvoir tout dire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 (1951).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C'est la chaude loi des hommes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Du raisin ils font du vin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Du charbon ils font du feu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Des baisers ils font des hommes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C'est la dure loi des hommes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Se garder intact malgré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Les guerres et la misère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Malgré les dangers de mort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C'est la douce loi des hommes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De changer l'eau en lumière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Le rêve en réalité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Et les ennemis en frères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Une loi vieille et nouvelle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Qui va se perfectionnant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Du fond du cœur de l'enfant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Jusqu'à la raison suprême.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Texte D : Jean Mambrino, « Orphée</w:t>
      </w:r>
      <w:r>
        <w:rPr>
          <w:vertAlign w:val="superscript"/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>1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 innombrable », </w:t>
      </w:r>
      <w:r>
        <w:rPr>
          <w:i w:val="1"/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La Saison du monde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 (1986)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Parle. Ouvre cet espace sans violence. Élargis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le cercle, la mouvance qui t'entoure de floraisons.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Établis la distance entre les visages, fais danser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les distances du monde, entre les maisons,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les regards, les étoiles. Propage l'harmonie,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arrange les rapports, distribue le silence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qui proportionne la pensée au désir, le rêve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à la vision. Parle au-dedans vers le dehors,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au-dehors, vers l'intime. Possède l'immensité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du royaume que tu te donnes. Habite l'invisible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où tu circules à l'aise. Où tous enfin te voient.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Dilate les limites de l'instant, la tessiture</w:t>
      </w:r>
      <w:r>
        <w:rPr>
          <w:vertAlign w:val="superscript"/>
          <w:color w:val="auto"/>
          <w:position w:val="0"/>
          <w:sz w:val="24"/>
          <w:szCs w:val="24"/>
          <w:rFonts w:ascii="Calibri" w:eastAsia="Calibri" w:hAnsi="Calibri" w:hint="default"/>
        </w:rPr>
        <w:t>2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de la voix qui monte et descend l'échelle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du sens, puisant son souffle aux bords de l'inouï</w:t>
      </w:r>
      <w:r>
        <w:rPr>
          <w:vertAlign w:val="superscript"/>
          <w:color w:val="auto"/>
          <w:position w:val="0"/>
          <w:sz w:val="24"/>
          <w:szCs w:val="24"/>
          <w:rFonts w:ascii="Calibri" w:eastAsia="Calibri" w:hAnsi="Calibri" w:hint="default"/>
        </w:rPr>
        <w:t>3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.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Lance, efface, emporte, allège, assure, adore. Vis.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Calibri" w:eastAsia="Calibri" w:hAnsi="Calibri" w:hint="default"/>
        </w:rPr>
        <w:wordWrap w:val="off"/>
      </w:pP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1. Orphée: personnage de la mythologie. Le jour de son mariage, son épouse Eurydice, meurt piquée par un </w:t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serpent. Orphée descend alors au royaume des morts et, charmant le dieu des Enfers par le pouvoir de son </w:t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chant poétique, il obtient de ramener Eurydice à la vie. Dès lors, Orphée est considéré comme l'emblème des </w:t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>poètes.</w:t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br/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2. Tessiture : amplitude, capacité de la voix à aller dans les graves et les aigus.</w:t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br/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3. Inouï : jamais entendu, exceptionnel.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Document E : Camille Corot, Orphée ramenant Eurydice des Enfers (1861).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sz w:val="20"/>
        </w:rPr>
        <w:drawing>
          <wp:inline distT="0" distB="0" distL="0" distR="0">
            <wp:extent cx="5161915" cy="4285615"/>
            <wp:effectExtent l="0" t="0" r="0" b="0"/>
            <wp:docPr id="2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http://www.site-magister.com/orpheeramenanteurydicedesenfers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28625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I - Vous répondrez d'abord à la question suivante (4 points) :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En quoi ces poèmes sont-ils des leçons de vie ?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II - Travail d'écriture (16 points) :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>Commentaire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 Vous ferez le commentaire du poème de Paul Eluard (texte C).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>Dissertation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 Paul Eluard disait dans </w:t>
      </w:r>
      <w:r>
        <w:rPr>
          <w:i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L'Évidence poétique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en 1939 : « Le poète est celui qui inspire bien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plus qu'il n'est inspiré ». Cette déclaration correspond-elle à votre conception du rôle du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poète ?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 Vous répondrez à cette question en prenant appui sur les documents du corpus, sur les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poèmes que vous avez lus et étudiés ainsi que sur votre culture personnelle.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t xml:space="preserve">Invention </w:t>
      </w:r>
      <w:r>
        <w:rPr>
          <w:b w:val="1"/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 Ayant obtenu de ramener Eurydice des Enfers, Orphée, dans un élan d'enthousiasme, la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prend par la main. Joignant la parole au geste, il l'invite à renaître en célébrant la vie.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br/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 En vous inspirant des documents du corpus, vous écrirez, sous la forme d'un texte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poétique en prose, les paroles qu'Orphée adresse à Eurydice.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  <w:hyperlink r:id="rId6">
        <w:r>
          <w:rPr>
            <w:color w:val="0563C1"/>
            <w:position w:val="0"/>
            <w:sz w:val="28"/>
            <w:szCs w:val="28"/>
            <w:u w:val="single"/>
            <w:rFonts w:ascii="Calibri" w:eastAsia="Calibri" w:hAnsi="Calibri" w:hint="default"/>
          </w:rPr>
          <w:t>Annales corrigées, séries L, ES, S, 2018</w:t>
        </w:r>
      </w:hyperlink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http://www.site-magister.com/orpheeramenanteurydicedesenfers.jpg" TargetMode="External"></Relationship><Relationship Id="rId6" Type="http://schemas.openxmlformats.org/officeDocument/2006/relationships/hyperlink" Target="https://amzn.to/2pAWgsi" TargetMode="Externa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4</Pages>
  <Paragraphs>0</Paragraphs>
  <Words>868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